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return; to go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a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speak; 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pay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show; 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get a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pluma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close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pregunta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(temp. condition; location)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mobile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school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manila 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escritorio; the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during</w:t>
            </w:r>
          </w:p>
        </w:tc>
      </w:tr>
    </w:tbl>
    <w:p>
      <w:pPr>
        <w:pStyle w:val="WordBankLarge"/>
      </w:pPr>
      <w:r>
        <w:t xml:space="preserve">   escuela    </w:t>
      </w:r>
      <w:r>
        <w:t xml:space="preserve">   lasaladeclase    </w:t>
      </w:r>
      <w:r>
        <w:t xml:space="preserve">   el pupitre    </w:t>
      </w:r>
      <w:r>
        <w:t xml:space="preserve">   a question    </w:t>
      </w:r>
      <w:r>
        <w:t xml:space="preserve">   enseñar    </w:t>
      </w:r>
      <w:r>
        <w:t xml:space="preserve">   hablar    </w:t>
      </w:r>
      <w:r>
        <w:t xml:space="preserve">   estudiar    </w:t>
      </w:r>
      <w:r>
        <w:t xml:space="preserve">   escuchar    </w:t>
      </w:r>
      <w:r>
        <w:t xml:space="preserve">   mirar    </w:t>
      </w:r>
      <w:r>
        <w:t xml:space="preserve">   prestar atención    </w:t>
      </w:r>
      <w:r>
        <w:t xml:space="preserve">   contestar    </w:t>
      </w:r>
      <w:r>
        <w:t xml:space="preserve">   tomar un examen    </w:t>
      </w:r>
      <w:r>
        <w:t xml:space="preserve">   sacar una nota    </w:t>
      </w:r>
      <w:r>
        <w:t xml:space="preserve">   ir    </w:t>
      </w:r>
      <w:r>
        <w:t xml:space="preserve">   dar    </w:t>
      </w:r>
      <w:r>
        <w:t xml:space="preserve">   estar    </w:t>
      </w:r>
      <w:r>
        <w:t xml:space="preserve">   mochila    </w:t>
      </w:r>
      <w:r>
        <w:t xml:space="preserve">   materiales escolares    </w:t>
      </w:r>
      <w:r>
        <w:t xml:space="preserve">   bolígrafo    </w:t>
      </w:r>
      <w:r>
        <w:t xml:space="preserve">   carpeta    </w:t>
      </w:r>
      <w:r>
        <w:t xml:space="preserve">   la falda    </w:t>
      </w:r>
      <w:r>
        <w:t xml:space="preserve">   llevar    </w:t>
      </w:r>
      <w:r>
        <w:t xml:space="preserve">   el móvil    </w:t>
      </w:r>
      <w:r>
        <w:t xml:space="preserve">   regresar    </w:t>
      </w:r>
      <w:r>
        <w:t xml:space="preserve">   correoelectrónico    </w:t>
      </w:r>
      <w:r>
        <w:t xml:space="preserve">   buscar    </w:t>
      </w:r>
      <w:r>
        <w:t xml:space="preserve">   comprar    </w:t>
      </w:r>
      <w:r>
        <w:t xml:space="preserve">   pagar    </w:t>
      </w:r>
      <w:r>
        <w:t xml:space="preserve">   necesitar    </w:t>
      </w:r>
      <w:r>
        <w:t xml:space="preserve">   trabajar    </w:t>
      </w:r>
      <w:r>
        <w:t xml:space="preserve">   antesde    </w:t>
      </w:r>
      <w:r>
        <w:t xml:space="preserve">   durante    </w:t>
      </w:r>
      <w:r>
        <w:t xml:space="preserve">   despuésde    </w:t>
      </w:r>
      <w:r>
        <w:t xml:space="preserve">   lejosde    </w:t>
      </w:r>
      <w:r>
        <w:t xml:space="preserve">   cercade    </w:t>
      </w:r>
      <w:r>
        <w:t xml:space="preserve">   usar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Guide</dc:title>
  <dcterms:created xsi:type="dcterms:W3CDTF">2021-10-11T18:08:48Z</dcterms:created>
  <dcterms:modified xsi:type="dcterms:W3CDTF">2021-10-11T18:08:48Z</dcterms:modified>
</cp:coreProperties>
</file>