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by a higher court directing a lower court to send up the record in a given case for review; from the Latin meaning "to be more certain"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decision that stands as an example to be followed in future,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transcript of proceedings made in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explanation of the views of one or more judges who disagree with (dissent from) a decision reached by a majority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of a court to hear a case first, before any other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detailed written statements filed with the Court before oral arguments are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shared by federal and state courts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civil suit, the person against whom a court action is brought by the plaintiff; in a criminal case, the person charged with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written explanation of the views of one or more judges who support a decision reached by a majority of the court, but wish to add or emphasize a point that was not made in the majority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putting a case before the Supreme Court; used when a lower court is not clear about the procedure or rule of law that should apply in a case and asks the Supreme Court to certify the answer to a specific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officially called the Opinion of the Court; announces the Court's decision in a case and sets out the reasoning upon which it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case involving a non criminal matter such as a contract dispute or a claim of patent infringement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authority of a court to review decisions of inferior (lower)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judicial philosophy in which supporters believe that judges should decide cases based on the original intent of the Framers or those who enacted the statute(s) involved in a case, or on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federal courts, beneath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case in which a defendant is tried for committing a crime as defined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civil law, the party who brings a suit/some other legal action against another (the defendant)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court's 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satisfaction of a claim payment</w:t>
            </w:r>
          </w:p>
        </w:tc>
      </w:tr>
    </w:tbl>
    <w:p>
      <w:pPr>
        <w:pStyle w:val="WordBankLarge"/>
      </w:pPr>
      <w:r>
        <w:t xml:space="preserve">   Inferior courts    </w:t>
      </w:r>
      <w:r>
        <w:t xml:space="preserve">   Jurisdiction    </w:t>
      </w:r>
      <w:r>
        <w:t xml:space="preserve">   Concurrent jurisdiction    </w:t>
      </w:r>
      <w:r>
        <w:t xml:space="preserve">   Plaintiff    </w:t>
      </w:r>
      <w:r>
        <w:t xml:space="preserve">   Defendant    </w:t>
      </w:r>
      <w:r>
        <w:t xml:space="preserve">   Original jurisdiction    </w:t>
      </w:r>
      <w:r>
        <w:t xml:space="preserve">   Appellate jurisdiction    </w:t>
      </w:r>
      <w:r>
        <w:t xml:space="preserve">   Judicial restraint    </w:t>
      </w:r>
      <w:r>
        <w:t xml:space="preserve">   Precedent    </w:t>
      </w:r>
      <w:r>
        <w:t xml:space="preserve">   Civil case    </w:t>
      </w:r>
      <w:r>
        <w:t xml:space="preserve">   Docket    </w:t>
      </w:r>
      <w:r>
        <w:t xml:space="preserve">   Record    </w:t>
      </w:r>
      <w:r>
        <w:t xml:space="preserve">   Writ of certiorari     </w:t>
      </w:r>
      <w:r>
        <w:t xml:space="preserve">   Certificate    </w:t>
      </w:r>
      <w:r>
        <w:t xml:space="preserve">   Briefs    </w:t>
      </w:r>
      <w:r>
        <w:t xml:space="preserve">   Majority opinion    </w:t>
      </w:r>
      <w:r>
        <w:t xml:space="preserve">   Dissenting opinion    </w:t>
      </w:r>
      <w:r>
        <w:t xml:space="preserve">   Concurring opinion    </w:t>
      </w:r>
      <w:r>
        <w:t xml:space="preserve">   Criminal case    </w:t>
      </w:r>
      <w:r>
        <w:t xml:space="preserve">   Redress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Vocabulary Crossword Puzzle</dc:title>
  <dcterms:created xsi:type="dcterms:W3CDTF">2021-10-11T18:19:32Z</dcterms:created>
  <dcterms:modified xsi:type="dcterms:W3CDTF">2021-10-11T18:19:32Z</dcterms:modified>
</cp:coreProperties>
</file>