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Sytems Affected in Late Adulthood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Immune    </w:t>
      </w:r>
      <w:r>
        <w:t xml:space="preserve">   Reproductive    </w:t>
      </w:r>
      <w:r>
        <w:t xml:space="preserve">   Urinary    </w:t>
      </w:r>
      <w:r>
        <w:t xml:space="preserve">   Digestive    </w:t>
      </w:r>
      <w:r>
        <w:t xml:space="preserve">   Nervous    </w:t>
      </w:r>
      <w:r>
        <w:t xml:space="preserve">   Endocrine    </w:t>
      </w:r>
      <w:r>
        <w:t xml:space="preserve">   Musculoskeletal    </w:t>
      </w:r>
      <w:r>
        <w:t xml:space="preserve">   Circulatory    </w:t>
      </w:r>
      <w:r>
        <w:t xml:space="preserve">   Respiratory    </w:t>
      </w:r>
      <w:r>
        <w:t xml:space="preserve">   Integumentary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Sytems Affected in Late Adulthood </dc:title>
  <dcterms:created xsi:type="dcterms:W3CDTF">2021-10-11T18:23:44Z</dcterms:created>
  <dcterms:modified xsi:type="dcterms:W3CDTF">2021-10-11T18:23:44Z</dcterms:modified>
</cp:coreProperties>
</file>