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TWC Civil Rights Division Learning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origin discrimination in employment includes discriminatory actions such as a "Speak English-Only"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treatment of an individual on the basis of their membership in a protected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accused of a violation in a complaint involving a discriminatory practice in employment 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Discrimination on the bases of immutable character associated with skin color, hair texture, or certain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Informal negotiations among an aggrieved person, respondent, and a commission to resolve issues raised by a complaint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Equal Pay Act of 1963 requires employers to pay _____ and women equally for doing the same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Chapter 301 of the Texas Property Code is the Texas ____ Housing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intended for occupancy as a residence by one or more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Discrimination based on the pigmentation of an individual's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_______ Employment Opportunity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Chapter 21 of the Texas Labor Coder covers Texas ________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inclusive term that encompasses all forms of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behaviors are those that may blatantly or subtly constitute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lease, sublease, let, or grant the right to occupy premises not owned by the occupant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____________ accommodation enables an individual with a disability to use and enjoy a dwelling or successfully perform the duties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 treatment is a violation when an individual of a protected class is treated less favorably than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or physical impairment that substantially limits at least one major life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 ________ is sex discrimination involving quid pro quo or hostile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that is protected against unlawful discrimination because of any aspect of religious observance, practice,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design of products, devices, services, or environments for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Department of Housing and Urban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Workforce Commission, Civil Rights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or refusal to hire an individual because of their membership in a protected class is an ___________ employment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basis or status of a discriminatory housing act against  an individual who is pregnant or parent of someone age 18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who brings an action or proceeding on the basis of an unlawful employment or housing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Unlawful actions taken against an individual for opposing discrimination, filing a complaint, or participating in an investigation or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437 of the Texas Government Code pertains to Texas ______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protected class that protects persons age 40 and older from unlawful employment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Corrective actions taken for employment  discrimination violations that may include compensatory and/or punitive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 that is protected from discriminatory threatment because of gender or on the basis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Title VII of the Civil Rights Act, Americans w/Disabilities Act &amp; the Age Discrimination in Employment Act are ____ equal employment opportunity laws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RISKY    </w:t>
      </w:r>
      <w:r>
        <w:t xml:space="preserve">   DISPARATE    </w:t>
      </w:r>
      <w:r>
        <w:t xml:space="preserve">   AGE    </w:t>
      </w:r>
      <w:r>
        <w:t xml:space="preserve">   FAMILIAL    </w:t>
      </w:r>
      <w:r>
        <w:t xml:space="preserve">   COMPLAINANT    </w:t>
      </w:r>
      <w:r>
        <w:t xml:space="preserve">   RENT    </w:t>
      </w:r>
      <w:r>
        <w:t xml:space="preserve">   MILITARY    </w:t>
      </w:r>
      <w:r>
        <w:t xml:space="preserve">   DISCRIMINATION    </w:t>
      </w:r>
      <w:r>
        <w:t xml:space="preserve">   REASONABLE    </w:t>
      </w:r>
      <w:r>
        <w:t xml:space="preserve">   DIVISION    </w:t>
      </w:r>
      <w:r>
        <w:t xml:space="preserve">   DISABILITY    </w:t>
      </w:r>
      <w:r>
        <w:t xml:space="preserve">   RESPONDENT    </w:t>
      </w:r>
      <w:r>
        <w:t xml:space="preserve">   COLOR    </w:t>
      </w:r>
      <w:r>
        <w:t xml:space="preserve">   RELIGION    </w:t>
      </w:r>
      <w:r>
        <w:t xml:space="preserve">   DIVERSITY    </w:t>
      </w:r>
      <w:r>
        <w:t xml:space="preserve">   FAIR    </w:t>
      </w:r>
      <w:r>
        <w:t xml:space="preserve">   CONCILIATION    </w:t>
      </w:r>
      <w:r>
        <w:t xml:space="preserve">   DEVELOPMENT    </w:t>
      </w:r>
      <w:r>
        <w:t xml:space="preserve">   EQUAL    </w:t>
      </w:r>
      <w:r>
        <w:t xml:space="preserve">   RETALIATION    </w:t>
      </w:r>
      <w:r>
        <w:t xml:space="preserve">   DWELLING    </w:t>
      </w:r>
      <w:r>
        <w:t xml:space="preserve">   RACE    </w:t>
      </w:r>
      <w:r>
        <w:t xml:space="preserve">   NATIONAL    </w:t>
      </w:r>
      <w:r>
        <w:t xml:space="preserve">   SEX    </w:t>
      </w:r>
      <w:r>
        <w:t xml:space="preserve">   ACCESSIBLE    </w:t>
      </w:r>
      <w:r>
        <w:t xml:space="preserve">   HARASSMENT    </w:t>
      </w:r>
      <w:r>
        <w:t xml:space="preserve">   REMEDIES    </w:t>
      </w:r>
      <w:r>
        <w:t xml:space="preserve">   FEDERAL    </w:t>
      </w:r>
      <w:r>
        <w:t xml:space="preserve">   UNLAWFUL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TWC Civil Rights Division Learning Activity</dc:title>
  <dcterms:created xsi:type="dcterms:W3CDTF">2021-10-11T20:11:39Z</dcterms:created>
  <dcterms:modified xsi:type="dcterms:W3CDTF">2021-10-11T20:11:39Z</dcterms:modified>
</cp:coreProperties>
</file>