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 &amp;Trade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Quota    </w:t>
      </w:r>
      <w:r>
        <w:t xml:space="preserve">   Voluntary Trade    </w:t>
      </w:r>
      <w:r>
        <w:t xml:space="preserve">   Product Standards    </w:t>
      </w:r>
      <w:r>
        <w:t xml:space="preserve">   Comparative Advantage    </w:t>
      </w:r>
      <w:r>
        <w:t xml:space="preserve">   Free Trade    </w:t>
      </w:r>
      <w:r>
        <w:t xml:space="preserve">   Currency Exchange Rate    </w:t>
      </w:r>
      <w:r>
        <w:t xml:space="preserve">   Balance of Trade    </w:t>
      </w:r>
      <w:r>
        <w:t xml:space="preserve">   Trade Barriers    </w:t>
      </w:r>
      <w:r>
        <w:t xml:space="preserve">   Market economy    </w:t>
      </w:r>
      <w:r>
        <w:t xml:space="preserve">  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&amp;Trade</dc:title>
  <dcterms:created xsi:type="dcterms:W3CDTF">2021-10-11T18:28:16Z</dcterms:created>
  <dcterms:modified xsi:type="dcterms:W3CDTF">2021-10-11T18:28:16Z</dcterms:modified>
</cp:coreProperties>
</file>