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Teaching Profession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collaborative learning    </w:t>
      </w:r>
      <w:r>
        <w:t xml:space="preserve">   corporate trainers    </w:t>
      </w:r>
      <w:r>
        <w:t xml:space="preserve">   technical schools    </w:t>
      </w:r>
      <w:r>
        <w:t xml:space="preserve">   curriculum    </w:t>
      </w:r>
      <w:r>
        <w:t xml:space="preserve">   program director    </w:t>
      </w:r>
      <w:r>
        <w:t xml:space="preserve">   psychologist    </w:t>
      </w:r>
      <w:r>
        <w:t xml:space="preserve">   parent educator    </w:t>
      </w:r>
      <w:r>
        <w:t xml:space="preserve">   paraprofessional    </w:t>
      </w:r>
      <w:r>
        <w:t xml:space="preserve">   nonsectarian    </w:t>
      </w:r>
      <w:r>
        <w:t xml:space="preserve">   salary schedule    </w:t>
      </w:r>
      <w:r>
        <w:t xml:space="preserve">   diversity    </w:t>
      </w:r>
      <w:r>
        <w:t xml:space="preserve">   advocate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Profession</dc:title>
  <dcterms:created xsi:type="dcterms:W3CDTF">2021-10-11T18:31:07Z</dcterms:created>
  <dcterms:modified xsi:type="dcterms:W3CDTF">2021-10-11T18:31:07Z</dcterms:modified>
</cp:coreProperties>
</file>