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Reading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select and use vicarious technological tools for locating, learning, and communicating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Sharpness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Teaching for thinking about and monitoring ones own thought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sound in 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meaning clue used to decode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theory that depicts reading as a set of subskills that children must master and integrate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differentiate among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Clues from associating phonemes with graphemes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preexisting knowledge structure developed about a person, place,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interpretation of sensory impressions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eclectic approach that combines the desirable aspects of a number of different methods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Sharpness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Relating to attitudes, interests, values, appreciations, and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Based on Rosenblatt’s idea that every reading act is is a transaction that involves a reader and a text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letter or group of letters that represents a phoneme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carry out a task without having to give it much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to differentiate between different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Processing printed text by examining the printed symbols and using word recognition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where the reader is focusing more on gaining meaning and using background knowledge rather than pronounciation of all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theory that depicts reading as a combination of reader-based and text-based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read with automaticity, appropriate rate, and good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Focusing on obtaining information from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indirect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clue derived from the word order in sentences that helps readers decode an unknown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focus on the personal feeling, memories, and images evoked by the text</w:t>
            </w:r>
          </w:p>
        </w:tc>
      </w:tr>
    </w:tbl>
    <w:p>
      <w:pPr>
        <w:pStyle w:val="WordBankLarge"/>
      </w:pPr>
      <w:r>
        <w:t xml:space="preserve">   Aesthetic stance    </w:t>
      </w:r>
      <w:r>
        <w:t xml:space="preserve">   Affective    </w:t>
      </w:r>
      <w:r>
        <w:t xml:space="preserve">   Auditory acuity    </w:t>
      </w:r>
      <w:r>
        <w:t xml:space="preserve">   Auditory discrimination    </w:t>
      </w:r>
      <w:r>
        <w:t xml:space="preserve">   Automaticity    </w:t>
      </w:r>
      <w:r>
        <w:t xml:space="preserve">   Balanced approach     </w:t>
      </w:r>
      <w:r>
        <w:t xml:space="preserve">   Bottom up processing    </w:t>
      </w:r>
      <w:r>
        <w:t xml:space="preserve">   Efferent stance    </w:t>
      </w:r>
      <w:r>
        <w:t xml:space="preserve">   Fluency    </w:t>
      </w:r>
      <w:r>
        <w:t xml:space="preserve">   Grapheme    </w:t>
      </w:r>
      <w:r>
        <w:t xml:space="preserve">   Graphonic clues    </w:t>
      </w:r>
      <w:r>
        <w:t xml:space="preserve">   Interactive theory    </w:t>
      </w:r>
      <w:r>
        <w:t xml:space="preserve">   Metacognitive strategies    </w:t>
      </w:r>
      <w:r>
        <w:t xml:space="preserve">   Perception    </w:t>
      </w:r>
      <w:r>
        <w:t xml:space="preserve">   Phoneme    </w:t>
      </w:r>
      <w:r>
        <w:t xml:space="preserve">   Schemata    </w:t>
      </w:r>
      <w:r>
        <w:t xml:space="preserve">   Semantic clue    </w:t>
      </w:r>
      <w:r>
        <w:t xml:space="preserve">   Subskill theory     </w:t>
      </w:r>
      <w:r>
        <w:t xml:space="preserve">   Syntactic clue    </w:t>
      </w:r>
      <w:r>
        <w:t xml:space="preserve">   Technological literacy    </w:t>
      </w:r>
      <w:r>
        <w:t xml:space="preserve">   Top down processing     </w:t>
      </w:r>
      <w:r>
        <w:t xml:space="preserve">   Transactive theory    </w:t>
      </w:r>
      <w:r>
        <w:t xml:space="preserve">   Vicarious experience    </w:t>
      </w:r>
      <w:r>
        <w:t xml:space="preserve">   Visual acuity    </w:t>
      </w:r>
      <w:r>
        <w:t xml:space="preserve">   Visual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Reading Vocabulary </dc:title>
  <dcterms:created xsi:type="dcterms:W3CDTF">2021-10-11T18:30:39Z</dcterms:created>
  <dcterms:modified xsi:type="dcterms:W3CDTF">2021-10-11T18:30:39Z</dcterms:modified>
</cp:coreProperties>
</file>