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 your CRCS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quarterly statement sent to Medicare Beneficiary reflecting services, charges, and patient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Tricare Plan that is a supplement to Medicare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Medicare Supplemental Insurance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Title XVIII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two-digit code that clarifies an event or condition that may affect payer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temporary substitute, especially for a doctor or member of the 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questionnaire sent out 3 months before a patient becomes entitled to Medicare that asks about other health coverage that maybe primary to Medicare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written authorization to an insurance company to pay benefits directly to the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Data Fields on the CMS 1450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Patient has the right to make informed decision whether to receive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beneficiary that qualifies for both Medicare Part A&amp; B and Medicaid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a person covered by Medicare referred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Working File </w:t>
            </w:r>
          </w:p>
        </w:tc>
      </w:tr>
    </w:tbl>
    <w:p>
      <w:pPr>
        <w:pStyle w:val="WordBankLarge"/>
      </w:pPr>
      <w:r>
        <w:t xml:space="preserve">   Medicare    </w:t>
      </w:r>
      <w:r>
        <w:t xml:space="preserve">   Beneficiary    </w:t>
      </w:r>
      <w:r>
        <w:t xml:space="preserve">   Medigap    </w:t>
      </w:r>
      <w:r>
        <w:t xml:space="preserve">   Dual Eligible     </w:t>
      </w:r>
      <w:r>
        <w:t xml:space="preserve">   Tricare for Life    </w:t>
      </w:r>
      <w:r>
        <w:t xml:space="preserve">   Non Availability Statement    </w:t>
      </w:r>
      <w:r>
        <w:t xml:space="preserve">   Locum Tenens    </w:t>
      </w:r>
      <w:r>
        <w:t xml:space="preserve">   Field Locators    </w:t>
      </w:r>
      <w:r>
        <w:t xml:space="preserve">   Condition Code    </w:t>
      </w:r>
      <w:r>
        <w:t xml:space="preserve">   Medicare Summary Notice    </w:t>
      </w:r>
      <w:r>
        <w:t xml:space="preserve">   Informed Consent    </w:t>
      </w:r>
      <w:r>
        <w:t xml:space="preserve">   Assignment of Benefits    </w:t>
      </w:r>
      <w:r>
        <w:t xml:space="preserve">   Electronic Health Record    </w:t>
      </w:r>
      <w:r>
        <w:t xml:space="preserve">   IEQ    </w:t>
      </w:r>
      <w:r>
        <w:t xml:space="preserve">   CWF    </w:t>
      </w:r>
      <w:r>
        <w:t xml:space="preserve">   Average Length of Stay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CRCS Knowledge</dc:title>
  <dcterms:created xsi:type="dcterms:W3CDTF">2021-10-11T18:39:12Z</dcterms:created>
  <dcterms:modified xsi:type="dcterms:W3CDTF">2021-10-11T18:39:12Z</dcterms:modified>
</cp:coreProperties>
</file>