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case studies    </w:t>
      </w:r>
      <w:r>
        <w:t xml:space="preserve">   freedom of speech    </w:t>
      </w:r>
      <w:r>
        <w:t xml:space="preserve">   freedom of press    </w:t>
      </w:r>
      <w:r>
        <w:t xml:space="preserve">   double jeopardy    </w:t>
      </w:r>
      <w:r>
        <w:t xml:space="preserve">   due process of law    </w:t>
      </w:r>
      <w:r>
        <w:t xml:space="preserve">   eminent domain    </w:t>
      </w:r>
      <w:r>
        <w:t xml:space="preserve">   separation of state    </w:t>
      </w:r>
      <w:r>
        <w:t xml:space="preserve">   separation of church     </w:t>
      </w:r>
      <w:r>
        <w:t xml:space="preserve">   convention    </w:t>
      </w:r>
      <w:r>
        <w:t xml:space="preserve">   amendment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2021-10-11T18:48:22Z</dcterms:created>
  <dcterms:modified xsi:type="dcterms:W3CDTF">2021-10-11T18:48:22Z</dcterms:modified>
</cp:coreProperties>
</file>