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Equality Act 2010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belief    </w:t>
      </w:r>
      <w:r>
        <w:t xml:space="preserve">   sexual orientation    </w:t>
      </w:r>
      <w:r>
        <w:t xml:space="preserve">   maternity    </w:t>
      </w:r>
      <w:r>
        <w:t xml:space="preserve">   pregnancy    </w:t>
      </w:r>
      <w:r>
        <w:t xml:space="preserve">   religion    </w:t>
      </w:r>
      <w:r>
        <w:t xml:space="preserve">   disability    </w:t>
      </w:r>
      <w:r>
        <w:t xml:space="preserve">   race    </w:t>
      </w:r>
      <w:r>
        <w:t xml:space="preserve">   sex    </w:t>
      </w:r>
      <w:r>
        <w:t xml:space="preserve">   age    </w:t>
      </w:r>
      <w:r>
        <w:t xml:space="preserve">   civil partnerships    </w:t>
      </w:r>
      <w:r>
        <w:t xml:space="preserve">   marriage    </w:t>
      </w:r>
      <w:r>
        <w:t xml:space="preserve">   gender reassignment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Equality Act 2010</dc:title>
  <dcterms:created xsi:type="dcterms:W3CDTF">2021-10-11T19:00:05Z</dcterms:created>
  <dcterms:modified xsi:type="dcterms:W3CDTF">2021-10-11T19:00:05Z</dcterms:modified>
</cp:coreProperties>
</file>