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the president as head of the executive branch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the President to fill a government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veto exercised by the president after Congress has adjourned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of congress to block a presidential action after it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accusation against the president or other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advisory council for the president, consisting of the heads of the executive departments, the vice president,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the White House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holding office after his or her replacement has been elected to the office, but before the current term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to keep executive communications confidential, especially if they relate to national security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the office of the presidency to promote a particular program and/or to influence congress to accept legislative proposals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powers of the national government in the field of foreign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resolution of congress that the president can send troops into action abroad only by authorization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of the president as supreme commander of the military forces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Rejection by a president or governor of legislation passed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inferred from the express powers that allow Congress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Presidential power to strike, or remove, specific items from a spending bill without vetoing the entire package, declared unconstitutional by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directive issued by a president or governor that has the force of law</w:t>
            </w:r>
          </w:p>
        </w:tc>
      </w:tr>
    </w:tbl>
    <w:p>
      <w:pPr>
        <w:pStyle w:val="WordBankLarge"/>
      </w:pPr>
      <w:r>
        <w:t xml:space="preserve">   Chief of Staff    </w:t>
      </w:r>
      <w:r>
        <w:t xml:space="preserve">   Executive Privilege    </w:t>
      </w:r>
      <w:r>
        <w:t xml:space="preserve">   executive order    </w:t>
      </w:r>
      <w:r>
        <w:t xml:space="preserve">   pocket veto    </w:t>
      </w:r>
      <w:r>
        <w:t xml:space="preserve">   Line Item Veto    </w:t>
      </w:r>
      <w:r>
        <w:t xml:space="preserve">   veto    </w:t>
      </w:r>
      <w:r>
        <w:t xml:space="preserve">   Legislative Veto    </w:t>
      </w:r>
      <w:r>
        <w:t xml:space="preserve">   Lame Duck    </w:t>
      </w:r>
      <w:r>
        <w:t xml:space="preserve">   Commander in Chief    </w:t>
      </w:r>
      <w:r>
        <w:t xml:space="preserve">   Cabinet    </w:t>
      </w:r>
      <w:r>
        <w:t xml:space="preserve">   Chief Executive    </w:t>
      </w:r>
      <w:r>
        <w:t xml:space="preserve">   Appointment Power    </w:t>
      </w:r>
      <w:r>
        <w:t xml:space="preserve">   Inherent Powers    </w:t>
      </w:r>
      <w:r>
        <w:t xml:space="preserve">   Implied Powers    </w:t>
      </w:r>
      <w:r>
        <w:t xml:space="preserve">   War Powers Resolution    </w:t>
      </w:r>
      <w:r>
        <w:t xml:space="preserve">   Bully Pulpit    </w:t>
      </w:r>
      <w:r>
        <w:t xml:space="preserve">   impeachment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2021-10-11T19:00:28Z</dcterms:created>
  <dcterms:modified xsi:type="dcterms:W3CDTF">2021-10-11T19:00:28Z</dcterms:modified>
</cp:coreProperties>
</file>