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Human Rights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Court    </w:t>
      </w:r>
      <w:r>
        <w:t xml:space="preserve">   Law    </w:t>
      </w:r>
      <w:r>
        <w:t xml:space="preserve">   Minimum Standards    </w:t>
      </w:r>
      <w:r>
        <w:t xml:space="preserve">   Compatible    </w:t>
      </w:r>
      <w:r>
        <w:t xml:space="preserve">   Respect    </w:t>
      </w:r>
      <w:r>
        <w:t xml:space="preserve">   Fair Trial    </w:t>
      </w:r>
      <w:r>
        <w:t xml:space="preserve">   British Law    </w:t>
      </w:r>
      <w:r>
        <w:t xml:space="preserve">   European Convention    </w:t>
      </w:r>
      <w:r>
        <w:t xml:space="preserve">   Human Rights    </w:t>
      </w:r>
      <w:r>
        <w:t xml:space="preserve">   Protection    </w:t>
      </w:r>
      <w:r>
        <w:t xml:space="preserve">   Public Bodies    </w:t>
      </w:r>
      <w:r>
        <w:t xml:space="preserve">   Freedom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Rights Act</dc:title>
  <dcterms:created xsi:type="dcterms:W3CDTF">2021-10-11T19:09:42Z</dcterms:created>
  <dcterms:modified xsi:type="dcterms:W3CDTF">2021-10-11T19:09:42Z</dcterms:modified>
</cp:coreProperties>
</file>