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Indian Ocean Tsunami of 2004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adjacent    </w:t>
      </w:r>
      <w:r>
        <w:t xml:space="preserve">   buoyancy    </w:t>
      </w:r>
      <w:r>
        <w:t xml:space="preserve">   decimate    </w:t>
      </w:r>
      <w:r>
        <w:t xml:space="preserve">   deduce    </w:t>
      </w:r>
      <w:r>
        <w:t xml:space="preserve">   demographic    </w:t>
      </w:r>
      <w:r>
        <w:t xml:space="preserve">   entity    </w:t>
      </w:r>
      <w:r>
        <w:t xml:space="preserve">   humanitarian    </w:t>
      </w:r>
      <w:r>
        <w:t xml:space="preserve">   infrastructure    </w:t>
      </w:r>
      <w:r>
        <w:t xml:space="preserve">   precipitous    </w:t>
      </w:r>
      <w:r>
        <w:t xml:space="preserve">   series    </w:t>
      </w:r>
      <w:r>
        <w:t xml:space="preserve">   tempestuous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Indian Ocean Tsunami of 2004</dc:title>
  <dcterms:created xsi:type="dcterms:W3CDTF">2021-10-10T23:52:49Z</dcterms:created>
  <dcterms:modified xsi:type="dcterms:W3CDTF">2021-10-10T23:52:49Z</dcterms:modified>
</cp:coreProperties>
</file>