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and Powers held by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by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Reservation at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Q. Adams is elected 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Q. Adams and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in Philadelphia,Pennsylvania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Published in May 28,1830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supporters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Seventh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Indians were forced 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Anti-Jacksonian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Ruled by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Opposing the policies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Native American tribe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Jacksonian Democracy    </w:t>
      </w:r>
      <w:r>
        <w:t xml:space="preserve">   Suffrage    </w:t>
      </w:r>
      <w:r>
        <w:t xml:space="preserve">   National Republicans    </w:t>
      </w:r>
      <w:r>
        <w:t xml:space="preserve">   Spoils System    </w:t>
      </w:r>
      <w:r>
        <w:t xml:space="preserve">   John C. Calhoun    </w:t>
      </w:r>
      <w:r>
        <w:t xml:space="preserve">   Second Bank of the U.S.    </w:t>
      </w:r>
      <w:r>
        <w:t xml:space="preserve">   Indian Territory    </w:t>
      </w:r>
      <w:r>
        <w:t xml:space="preserve">   John Marshall    </w:t>
      </w:r>
      <w:r>
        <w:t xml:space="preserve">   Cherokee    </w:t>
      </w:r>
      <w:r>
        <w:t xml:space="preserve">   Corrupt Bargain    </w:t>
      </w:r>
      <w:r>
        <w:t xml:space="preserve">   Whig Party     </w:t>
      </w:r>
      <w:r>
        <w:t xml:space="preserve">   Democratic Party     </w:t>
      </w:r>
      <w:r>
        <w:t xml:space="preserve">   Election of 1824     </w:t>
      </w:r>
      <w:r>
        <w:t xml:space="preserve">   Old Hickory     </w:t>
      </w:r>
      <w:r>
        <w:t xml:space="preserve">   Daniel Webster    </w:t>
      </w:r>
      <w:r>
        <w:t xml:space="preserve">   States Rights    </w:t>
      </w:r>
      <w:r>
        <w:t xml:space="preserve">   Indian Removal Act    </w:t>
      </w:r>
      <w:r>
        <w:t xml:space="preserve">   Trail of Tears     </w:t>
      </w:r>
      <w:r>
        <w:t xml:space="preserve">   Worcester v.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2021-10-11T19:11:55Z</dcterms:created>
  <dcterms:modified xsi:type="dcterms:W3CDTF">2021-10-11T19:11:55Z</dcterms:modified>
</cp:coreProperties>
</file>