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Crisis management    </w:t>
      </w:r>
      <w:r>
        <w:t xml:space="preserve">   Waiting Period    </w:t>
      </w:r>
      <w:r>
        <w:t xml:space="preserve">   Total Loss    </w:t>
      </w:r>
      <w:r>
        <w:t xml:space="preserve">   Malicious Mischief    </w:t>
      </w:r>
      <w:r>
        <w:t xml:space="preserve">   Negotiation    </w:t>
      </w:r>
      <w:r>
        <w:t xml:space="preserve">   Going Global    </w:t>
      </w:r>
      <w:r>
        <w:t xml:space="preserve">   Location    </w:t>
      </w:r>
      <w:r>
        <w:t xml:space="preserve">   Underselling    </w:t>
      </w:r>
      <w:r>
        <w:t xml:space="preserve">   Competition    </w:t>
      </w:r>
      <w:r>
        <w:t xml:space="preserve">   Partnership    </w:t>
      </w:r>
      <w:r>
        <w:t xml:space="preserve">   Joint Venture    </w:t>
      </w:r>
      <w:r>
        <w:t xml:space="preserve">   Breakup    </w:t>
      </w:r>
      <w:r>
        <w:t xml:space="preserve">   Slump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2021-10-11T19:12:59Z</dcterms:created>
  <dcterms:modified xsi:type="dcterms:W3CDTF">2021-10-11T19:12:59Z</dcterms:modified>
</cp:coreProperties>
</file>