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Social determinant of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Gaps    </w:t>
      </w:r>
      <w:r>
        <w:t xml:space="preserve">   Barriers    </w:t>
      </w:r>
      <w:r>
        <w:t xml:space="preserve">   Eligibility    </w:t>
      </w:r>
      <w:r>
        <w:t xml:space="preserve">   Support Program    </w:t>
      </w:r>
      <w:r>
        <w:t xml:space="preserve">   Stigma    </w:t>
      </w:r>
      <w:r>
        <w:t xml:space="preserve">   Stereotypes    </w:t>
      </w:r>
      <w:r>
        <w:t xml:space="preserve">   Disabilities    </w:t>
      </w:r>
      <w:r>
        <w:t xml:space="preserve">   Ableism    </w:t>
      </w:r>
      <w:r>
        <w:t xml:space="preserve">   Human Rights    </w:t>
      </w:r>
      <w:r>
        <w:t xml:space="preserve">   Social determinant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Social determinant of health </dc:title>
  <dcterms:created xsi:type="dcterms:W3CDTF">2021-10-11T19:33:12Z</dcterms:created>
  <dcterms:modified xsi:type="dcterms:W3CDTF">2021-10-11T19:33:12Z</dcterms:modified>
</cp:coreProperties>
</file>