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Teen years: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Social-Emotional    </w:t>
      </w:r>
      <w:r>
        <w:t xml:space="preserve">   Cognitive-Development    </w:t>
      </w:r>
      <w:r>
        <w:t xml:space="preserve">   Multitasking    </w:t>
      </w:r>
      <w:r>
        <w:t xml:space="preserve">   Connections    </w:t>
      </w:r>
      <w:r>
        <w:t xml:space="preserve">   Neural    </w:t>
      </w:r>
      <w:r>
        <w:t xml:space="preserve">   Metacognition    </w:t>
      </w:r>
      <w:r>
        <w:t xml:space="preserve">   Egocentrism    </w:t>
      </w:r>
      <w:r>
        <w:t xml:space="preserve">   Asynchrony    </w:t>
      </w:r>
      <w:r>
        <w:t xml:space="preserve">   Growth Spurts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Teen years: Growth and Development</dc:title>
  <dcterms:created xsi:type="dcterms:W3CDTF">2021-10-11T19:35:13Z</dcterms:created>
  <dcterms:modified xsi:type="dcterms:W3CDTF">2021-10-11T19:35:13Z</dcterms:modified>
</cp:coreProperties>
</file>