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protected characteristics of the Equality Act 2010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Disability    </w:t>
      </w:r>
      <w:r>
        <w:t xml:space="preserve">   Gender Reassignment    </w:t>
      </w:r>
      <w:r>
        <w:t xml:space="preserve">   Marriage &amp; Civil partnership    </w:t>
      </w:r>
      <w:r>
        <w:t xml:space="preserve">   Pregnancy and Maternity    </w:t>
      </w:r>
      <w:r>
        <w:t xml:space="preserve">   Race    </w:t>
      </w:r>
      <w:r>
        <w:t xml:space="preserve">   Religion or Belief    </w:t>
      </w:r>
      <w:r>
        <w:t xml:space="preserve">   Sex    </w:t>
      </w:r>
      <w:r>
        <w:t xml:space="preserve">   Sexual Orientation    </w:t>
      </w:r>
      <w:r>
        <w:t xml:space="preserve">   The Equality Act 2010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protected characteristics of the Equality Act 2010</dc:title>
  <dcterms:created xsi:type="dcterms:W3CDTF">2021-10-11T19:26:11Z</dcterms:created>
  <dcterms:modified xsi:type="dcterms:W3CDTF">2021-10-11T19:26:11Z</dcterms:modified>
</cp:coreProperties>
</file>