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Theories of attraction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Attraction    </w:t>
      </w:r>
      <w:r>
        <w:t xml:space="preserve">   Commitment levels    </w:t>
      </w:r>
      <w:r>
        <w:t xml:space="preserve">   Schafer and Keith    </w:t>
      </w:r>
      <w:r>
        <w:t xml:space="preserve">   Psychological equity    </w:t>
      </w:r>
      <w:r>
        <w:t xml:space="preserve">   Rusbult    </w:t>
      </w:r>
      <w:r>
        <w:t xml:space="preserve">   Alternatives    </w:t>
      </w:r>
      <w:r>
        <w:t xml:space="preserve">   Satisfaction    </w:t>
      </w:r>
      <w:r>
        <w:t xml:space="preserve">   Investment model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attraction</dc:title>
  <dcterms:created xsi:type="dcterms:W3CDTF">2021-10-11T19:42:36Z</dcterms:created>
  <dcterms:modified xsi:type="dcterms:W3CDTF">2021-10-11T19:42:36Z</dcterms:modified>
</cp:coreProperties>
</file>