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Topic 7 Judicial Branch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based on the first impression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each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by that very fact or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 the main items in the preceding statement the other way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conclusion that does not logically follow from the previous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again and again in the same way;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writ requiring a person under arrest to be brought before a judge or into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genuine,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writ from a court to an inferior government official ordering him or her to properly fulfill their official duties or correct an abuse of discretion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principle that the buyer alone is responsible for checking quality and suitability of goods before buying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facts and circumstances constituting a breach of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 used for an appelate court to review a case at its discretion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impartial adviser, often voluntary, to a court of law in a specific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legal principle of determining points in litigation according to precedent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 retroactive effect or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denoting work undertaken without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(of an argument/reaction) directed against a person rather than the position they are maintaining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writ ordering a person to attend a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examination of a dead body to determine the cause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favor or advantage granted in return for something</w:t>
            </w:r>
          </w:p>
        </w:tc>
      </w:tr>
    </w:tbl>
    <w:p>
      <w:pPr>
        <w:pStyle w:val="WordBankLarge"/>
      </w:pPr>
      <w:r>
        <w:t xml:space="preserve">   Ad Hominem    </w:t>
      </w:r>
      <w:r>
        <w:t xml:space="preserve">   Ad Infinitum    </w:t>
      </w:r>
      <w:r>
        <w:t xml:space="preserve">   amicus curiae    </w:t>
      </w:r>
      <w:r>
        <w:t xml:space="preserve">   Bona Fide    </w:t>
      </w:r>
      <w:r>
        <w:t xml:space="preserve">   Caveat Emptor    </w:t>
      </w:r>
      <w:r>
        <w:t xml:space="preserve">   Corpus Delecti    </w:t>
      </w:r>
      <w:r>
        <w:t xml:space="preserve">   es post facto    </w:t>
      </w:r>
      <w:r>
        <w:t xml:space="preserve">   Habeas Corpus    </w:t>
      </w:r>
      <w:r>
        <w:t xml:space="preserve">   Ipso Facto    </w:t>
      </w:r>
      <w:r>
        <w:t xml:space="preserve">   Non Sequitur    </w:t>
      </w:r>
      <w:r>
        <w:t xml:space="preserve">   Per Diem    </w:t>
      </w:r>
      <w:r>
        <w:t xml:space="preserve">   Post Mortem    </w:t>
      </w:r>
      <w:r>
        <w:t xml:space="preserve">   Prima Facie    </w:t>
      </w:r>
      <w:r>
        <w:t xml:space="preserve">   Pro Bono    </w:t>
      </w:r>
      <w:r>
        <w:t xml:space="preserve">   quid pro quo    </w:t>
      </w:r>
      <w:r>
        <w:t xml:space="preserve">   Stare Decisis    </w:t>
      </w:r>
      <w:r>
        <w:t xml:space="preserve">   Subpoena    </w:t>
      </w:r>
      <w:r>
        <w:t xml:space="preserve">   Vice Versa    </w:t>
      </w:r>
      <w:r>
        <w:t xml:space="preserve">   Writ of Certiorari    </w:t>
      </w:r>
      <w:r>
        <w:t xml:space="preserve">   Writ of Mandamus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7 Judicial Branch </dc:title>
  <dcterms:created xsi:type="dcterms:W3CDTF">2021-10-11T19:58:42Z</dcterms:created>
  <dcterms:modified xsi:type="dcterms:W3CDTF">2021-10-11T19:58:42Z</dcterms:modified>
</cp:coreProperties>
</file>