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Confidential    </w:t>
      </w:r>
      <w:r>
        <w:t xml:space="preserve">   foreseeable    </w:t>
      </w:r>
      <w:r>
        <w:t xml:space="preserve">   Distress    </w:t>
      </w:r>
      <w:r>
        <w:t xml:space="preserve">   Negligence    </w:t>
      </w:r>
      <w:r>
        <w:t xml:space="preserve">   Defamation    </w:t>
      </w:r>
      <w:r>
        <w:t xml:space="preserve">   Trespass    </w:t>
      </w:r>
      <w:r>
        <w:t xml:space="preserve">   nuisance    </w:t>
      </w:r>
      <w:r>
        <w:t xml:space="preserve">   Conversion    </w:t>
      </w:r>
      <w:r>
        <w:t xml:space="preserve">   false Imprisonment    </w:t>
      </w:r>
      <w:r>
        <w:t xml:space="preserve">   Tortfeasor    </w:t>
      </w:r>
      <w:r>
        <w:t xml:space="preserve">   disparagement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Torts</dc:title>
  <dcterms:created xsi:type="dcterms:W3CDTF">2021-10-11T19:59:48Z</dcterms:created>
  <dcterms:modified xsi:type="dcterms:W3CDTF">2021-10-11T19:59:48Z</dcterms:modified>
</cp:coreProperties>
</file>