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 domestic &amp; Foreign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corporations    </w:t>
      </w:r>
      <w:r>
        <w:t xml:space="preserve">   council    </w:t>
      </w:r>
      <w:r>
        <w:t xml:space="preserve">   deficits    </w:t>
      </w:r>
      <w:r>
        <w:t xml:space="preserve">   domestic policy    </w:t>
      </w:r>
      <w:r>
        <w:t xml:space="preserve">   executive branch    </w:t>
      </w:r>
      <w:r>
        <w:t xml:space="preserve">   foreign policy    </w:t>
      </w:r>
      <w:r>
        <w:t xml:space="preserve">   interest rates    </w:t>
      </w:r>
      <w:r>
        <w:t xml:space="preserve">   medicare    </w:t>
      </w:r>
      <w:r>
        <w:t xml:space="preserve">   organizations    </w:t>
      </w:r>
      <w:r>
        <w:t xml:space="preserve">   president    </w:t>
      </w:r>
      <w:r>
        <w:t xml:space="preserve">   Public policy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domestic &amp; Foreign Policy</dc:title>
  <dcterms:created xsi:type="dcterms:W3CDTF">2021-10-11T20:15:48Z</dcterms:created>
  <dcterms:modified xsi:type="dcterms:W3CDTF">2021-10-11T20:15:48Z</dcterms:modified>
</cp:coreProperties>
</file>