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suburbanisation    </w:t>
      </w:r>
      <w:r>
        <w:t xml:space="preserve">   death rate    </w:t>
      </w:r>
      <w:r>
        <w:t xml:space="preserve">   birth rate    </w:t>
      </w:r>
      <w:r>
        <w:t xml:space="preserve">   natural increase    </w:t>
      </w:r>
      <w:r>
        <w:t xml:space="preserve">   pull factor    </w:t>
      </w:r>
      <w:r>
        <w:t xml:space="preserve">   push factor    </w:t>
      </w:r>
      <w:r>
        <w:t xml:space="preserve">   rural-urban migration    </w:t>
      </w:r>
      <w:r>
        <w:t xml:space="preserve">   urban areas    </w:t>
      </w:r>
      <w:r>
        <w:t xml:space="preserve">   lic    </w:t>
      </w:r>
      <w:r>
        <w:t xml:space="preserve">   hic    </w:t>
      </w:r>
      <w:r>
        <w:t xml:space="preserve">   rural areas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2021-10-11T20:42:16Z</dcterms:created>
  <dcterms:modified xsi:type="dcterms:W3CDTF">2021-10-11T20:42:16Z</dcterms:modified>
</cp:coreProperties>
</file>