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interpreting    </w:t>
      </w:r>
      <w:r>
        <w:t xml:space="preserve">   receiving    </w:t>
      </w:r>
      <w:r>
        <w:t xml:space="preserve">   high context    </w:t>
      </w:r>
      <w:r>
        <w:t xml:space="preserve">   low context    </w:t>
      </w:r>
      <w:r>
        <w:t xml:space="preserve">   stereotyping    </w:t>
      </w:r>
      <w:r>
        <w:t xml:space="preserve">   high level    </w:t>
      </w:r>
      <w:r>
        <w:t xml:space="preserve">   sapir-whorf hypothesis    </w:t>
      </w:r>
      <w:r>
        <w:t xml:space="preserve">   low level    </w:t>
      </w:r>
      <w:r>
        <w:t xml:space="preserve">   synatax    </w:t>
      </w:r>
      <w:r>
        <w:t xml:space="preserve">   semantics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Communication</dc:title>
  <dcterms:created xsi:type="dcterms:W3CDTF">2021-10-11T20:48:15Z</dcterms:created>
  <dcterms:modified xsi:type="dcterms:W3CDTF">2021-10-11T20:48:15Z</dcterms:modified>
</cp:coreProperties>
</file>