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in Preterit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compreron    </w:t>
      </w:r>
      <w:r>
        <w:t xml:space="preserve">   recibimos    </w:t>
      </w:r>
      <w:r>
        <w:t xml:space="preserve">   tomeron    </w:t>
      </w:r>
      <w:r>
        <w:t xml:space="preserve">   escribo    </w:t>
      </w:r>
      <w:r>
        <w:t xml:space="preserve">   abre    </w:t>
      </w:r>
      <w:r>
        <w:t xml:space="preserve">   bailimos    </w:t>
      </w:r>
      <w:r>
        <w:t xml:space="preserve">   corriste    </w:t>
      </w:r>
      <w:r>
        <w:t xml:space="preserve">   comias    </w:t>
      </w:r>
      <w:r>
        <w:t xml:space="preserve">   hablaste    </w:t>
      </w:r>
      <w:r>
        <w:t xml:space="preserve">   vivian    </w:t>
      </w:r>
      <w:r>
        <w:t xml:space="preserve">   bebiamos    </w:t>
      </w:r>
      <w:r>
        <w:t xml:space="preserve">   cantaba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in Preterit Tense</dc:title>
  <dcterms:created xsi:type="dcterms:W3CDTF">2021-10-11T20:49:50Z</dcterms:created>
  <dcterms:modified xsi:type="dcterms:W3CDTF">2021-10-11T20:49:50Z</dcterms:modified>
</cp:coreProperties>
</file>