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Visual Organization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Binocular cues    </w:t>
      </w:r>
      <w:r>
        <w:t xml:space="preserve">   Color constancy    </w:t>
      </w:r>
      <w:r>
        <w:t xml:space="preserve">   depth perception    </w:t>
      </w:r>
      <w:r>
        <w:t xml:space="preserve">   Figure ground    </w:t>
      </w:r>
      <w:r>
        <w:t xml:space="preserve">   Gestalt    </w:t>
      </w:r>
      <w:r>
        <w:t xml:space="preserve">   grouping    </w:t>
      </w:r>
      <w:r>
        <w:t xml:space="preserve">   Perceptual adaptation    </w:t>
      </w:r>
      <w:r>
        <w:t xml:space="preserve">   perceptual constancy    </w:t>
      </w:r>
      <w:r>
        <w:t xml:space="preserve">   Phi phenomenon    </w:t>
      </w:r>
      <w:r>
        <w:t xml:space="preserve">   Visual cliff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Organization </dc:title>
  <dcterms:created xsi:type="dcterms:W3CDTF">2021-10-11T20:55:25Z</dcterms:created>
  <dcterms:modified xsi:type="dcterms:W3CDTF">2021-10-11T20:55:25Z</dcterms:modified>
</cp:coreProperties>
</file>