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Văn học trung đại Việt 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TUYÊN NGÔN ĐỘC LẬP    </w:t>
      </w:r>
      <w:r>
        <w:t xml:space="preserve">   LẶNG LẼ SA PA    </w:t>
      </w:r>
      <w:r>
        <w:t xml:space="preserve">   ĐẠI VIỆT SỬ KÝ    </w:t>
      </w:r>
      <w:r>
        <w:t xml:space="preserve">   AI TỰ VẪN    </w:t>
      </w:r>
      <w:r>
        <w:t xml:space="preserve">   TRUYỀN KỈ MẠN LỤC    </w:t>
      </w:r>
      <w:r>
        <w:t xml:space="preserve">   MÙA XUÂN CHÍN    </w:t>
      </w:r>
      <w:r>
        <w:t xml:space="preserve">   LÃO HẠC    </w:t>
      </w:r>
      <w:r>
        <w:t xml:space="preserve">   NAM QUỐC SƠN HÀ    </w:t>
      </w:r>
      <w:r>
        <w:t xml:space="preserve">   SÓNG    </w:t>
      </w:r>
      <w:r>
        <w:t xml:space="preserve">   ĐÂY THÔN VĨ DẠ    </w:t>
      </w:r>
      <w:r>
        <w:t xml:space="preserve">   BÌNH NGÔ ĐẠI CÁO    </w:t>
      </w:r>
      <w:r>
        <w:t xml:space="preserve">   QUA ĐÈO NGANG    </w:t>
      </w:r>
      <w:r>
        <w:t xml:space="preserve">   TẮT ĐÈN    </w:t>
      </w:r>
      <w:r>
        <w:t xml:space="preserve">   TRUYỆN KIỀU    </w:t>
      </w:r>
      <w:r>
        <w:t xml:space="preserve">   LÀM ĐĨ    </w:t>
      </w:r>
      <w:r>
        <w:t xml:space="preserve">   VỢ CHỒNG A PHỦ    </w:t>
      </w:r>
      <w:r>
        <w:t xml:space="preserve">   SỐ ĐỎ    </w:t>
      </w:r>
      <w:r>
        <w:t xml:space="preserve">   CHÍ PHÈO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Văn học trung đại Việt Nam</dc:title>
  <dcterms:created xsi:type="dcterms:W3CDTF">2021-10-11T20:47:37Z</dcterms:created>
  <dcterms:modified xsi:type="dcterms:W3CDTF">2021-10-11T20:47:37Z</dcterms:modified>
</cp:coreProperties>
</file>