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 NURS 346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incision to help facilitate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method for EDB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pregnancies that have reached 20 weeks of gestation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milk duct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uterine discharge after childbirth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placental detachment before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procedure used for assessment of fetal health; amniotic fluid withdrawn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fine hair of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thinning of the cervix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infection that affect woman and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pregnancy not completed past 20 weeks of gestation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tubal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 or more pregnancies to 20 weeks of gestation or more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pregnancy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to determine if Rh-positive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normal amount of fluid is 10cm or greater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needed to move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pre-breast milk; high in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newborn immediately after birth; expressed numerically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 in utero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 who has never been pregnant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 8cm pocket of amniotic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ability to live outside utero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pregnant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cause of postpartum hemmorrhage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strangulation in utero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seizure activity with no prior history </w:t>
            </w:r>
          </w:p>
        </w:tc>
      </w:tr>
    </w:tbl>
    <w:p>
      <w:pPr>
        <w:pStyle w:val="WordBankLarge"/>
      </w:pPr>
      <w:r>
        <w:t xml:space="preserve">   Abruptio Placentae     </w:t>
      </w:r>
      <w:r>
        <w:t xml:space="preserve">   Amniocentesis     </w:t>
      </w:r>
      <w:r>
        <w:t xml:space="preserve">   Amniotomy     </w:t>
      </w:r>
      <w:r>
        <w:t xml:space="preserve">   Amniotic Fluid Index     </w:t>
      </w:r>
      <w:r>
        <w:t xml:space="preserve">   APGAR score     </w:t>
      </w:r>
      <w:r>
        <w:t xml:space="preserve">   Beta HCG    </w:t>
      </w:r>
      <w:r>
        <w:t xml:space="preserve">   Biophysical profile     </w:t>
      </w:r>
      <w:r>
        <w:t xml:space="preserve">   Braxton Hicks Contractions     </w:t>
      </w:r>
      <w:r>
        <w:t xml:space="preserve">   Colostrum     </w:t>
      </w:r>
      <w:r>
        <w:t xml:space="preserve">   Cooms test     </w:t>
      </w:r>
      <w:r>
        <w:t xml:space="preserve">   Eclampsia    </w:t>
      </w:r>
      <w:r>
        <w:t xml:space="preserve">   Ectopic Pregnancy     </w:t>
      </w:r>
      <w:r>
        <w:t xml:space="preserve">   Effacement     </w:t>
      </w:r>
      <w:r>
        <w:t xml:space="preserve">   Episiotomoy     </w:t>
      </w:r>
      <w:r>
        <w:t xml:space="preserve">   Fetus     </w:t>
      </w:r>
      <w:r>
        <w:t xml:space="preserve">   Gravida     </w:t>
      </w:r>
      <w:r>
        <w:t xml:space="preserve">   Mastitis     </w:t>
      </w:r>
      <w:r>
        <w:t xml:space="preserve">   Multipara     </w:t>
      </w:r>
      <w:r>
        <w:t xml:space="preserve">   Nulligravida     </w:t>
      </w:r>
      <w:r>
        <w:t xml:space="preserve">   Nullipara     </w:t>
      </w:r>
      <w:r>
        <w:t xml:space="preserve">   Lanugo     </w:t>
      </w:r>
      <w:r>
        <w:t xml:space="preserve">   Surfactant     </w:t>
      </w:r>
      <w:r>
        <w:t xml:space="preserve">   Viability     </w:t>
      </w:r>
      <w:r>
        <w:t xml:space="preserve">   Hydramnios     </w:t>
      </w:r>
      <w:r>
        <w:t xml:space="preserve">   Lochia     </w:t>
      </w:r>
      <w:r>
        <w:t xml:space="preserve">   Naegele rule     </w:t>
      </w:r>
      <w:r>
        <w:t xml:space="preserve">   Nuchal cord     </w:t>
      </w:r>
      <w:r>
        <w:t xml:space="preserve">   Parity     </w:t>
      </w:r>
      <w:r>
        <w:t xml:space="preserve">   TORCH    </w:t>
      </w:r>
      <w:r>
        <w:t xml:space="preserve">   Uterine atony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 NURS 346</dc:title>
  <dcterms:created xsi:type="dcterms:W3CDTF">2021-10-11T21:01:26Z</dcterms:created>
  <dcterms:modified xsi:type="dcterms:W3CDTF">2021-10-11T21:01:26Z</dcterms:modified>
</cp:coreProperties>
</file>