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" The Graveyard Book"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calmness in a crises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journey or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perturbed or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conquerable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building, especially a large and stately one, housing a to tomb or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yellow-flowered shrub of the pea family, the leaves of which are modified to form spines, malive to Western Europe and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(especially someone's hair)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chew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episode of irregular or unpremeditated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or causing by fungus or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easily understood; completely intelligible or 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 of asking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sloping,  semicircular seating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inviting or attractive; unwholesome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Roman name for what is now Colchester in Essex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done according to a systematic or established form of procedure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official in ancient Rome who foretold events by interpreting 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prickly scrambling vine or shrub, especially blackberry or other wild of the rose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reliable or unchanging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 or situation that is observed to exist or happen, especially one whose cause or explanation is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formal assembly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stone pillar, typically having a square or rectangular cross section ad a pyramidal top, set up as a monument of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 or appealing to an abnormal and unhealthy interest in disturbing and unpleasant subjects, especially death and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water proof jacket, typically has a hood, of a kind originally used  in polar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 at intervals throughout ( a continuing event or a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one feel very happy, animated, or elated; thrilling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 from the abdomen of a pig that is reduced and clarified for use in cooking</w:t>
            </w:r>
          </w:p>
        </w:tc>
      </w:tr>
    </w:tbl>
    <w:p>
      <w:pPr>
        <w:pStyle w:val="WordBankLarge"/>
      </w:pPr>
      <w:r>
        <w:t xml:space="preserve">   Brambles    </w:t>
      </w:r>
      <w:r>
        <w:t xml:space="preserve">   Gorse    </w:t>
      </w:r>
      <w:r>
        <w:t xml:space="preserve">   obelisk    </w:t>
      </w:r>
      <w:r>
        <w:t xml:space="preserve">   roman augur    </w:t>
      </w:r>
      <w:r>
        <w:t xml:space="preserve">   maticating    </w:t>
      </w:r>
      <w:r>
        <w:t xml:space="preserve">   maddeningly    </w:t>
      </w:r>
      <w:r>
        <w:t xml:space="preserve">   methodical    </w:t>
      </w:r>
      <w:r>
        <w:t xml:space="preserve">   concocation    </w:t>
      </w:r>
      <w:r>
        <w:t xml:space="preserve">   tousled    </w:t>
      </w:r>
      <w:r>
        <w:t xml:space="preserve">   lucidly    </w:t>
      </w:r>
      <w:r>
        <w:t xml:space="preserve">   phenomenon    </w:t>
      </w:r>
      <w:r>
        <w:t xml:space="preserve">   anorak    </w:t>
      </w:r>
      <w:r>
        <w:t xml:space="preserve">   inquiries    </w:t>
      </w:r>
      <w:r>
        <w:t xml:space="preserve">   camulodonum    </w:t>
      </w:r>
      <w:r>
        <w:t xml:space="preserve">   skirmish    </w:t>
      </w:r>
      <w:r>
        <w:t xml:space="preserve">   punctuated    </w:t>
      </w:r>
      <w:r>
        <w:t xml:space="preserve">   masonry    </w:t>
      </w:r>
      <w:r>
        <w:t xml:space="preserve">   mausoleum    </w:t>
      </w:r>
      <w:r>
        <w:t xml:space="preserve">   normality    </w:t>
      </w:r>
      <w:r>
        <w:t xml:space="preserve">   morbid    </w:t>
      </w:r>
      <w:r>
        <w:t xml:space="preserve">   unperturbed    </w:t>
      </w:r>
      <w:r>
        <w:t xml:space="preserve">   unfailingly    </w:t>
      </w:r>
      <w:r>
        <w:t xml:space="preserve">   excursions    </w:t>
      </w:r>
      <w:r>
        <w:t xml:space="preserve">   unflappable    </w:t>
      </w:r>
      <w:r>
        <w:t xml:space="preserve">   amphitheater    </w:t>
      </w:r>
      <w:r>
        <w:t xml:space="preserve">   lard    </w:t>
      </w:r>
      <w:r>
        <w:t xml:space="preserve">   exhilarating    </w:t>
      </w:r>
      <w:r>
        <w:t xml:space="preserve">   unconquerable    </w:t>
      </w:r>
      <w:r>
        <w:t xml:space="preserve">   fungoid    </w:t>
      </w:r>
      <w:r>
        <w:t xml:space="preserve">   unappetizing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" The Graveyard Book" </dc:title>
  <dcterms:created xsi:type="dcterms:W3CDTF">2021-10-11T20:59:45Z</dcterms:created>
  <dcterms:modified xsi:type="dcterms:W3CDTF">2021-10-11T20:59:45Z</dcterms:modified>
</cp:coreProperties>
</file>