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V3.1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empleada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Escuchar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¿Cuanto cuesta?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 un examen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el bus escolar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En el pupitre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Contestar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material escolare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Navegar el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dinero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goma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Prestar atención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Regresar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caja</w:t>
            </w:r>
          </w:p>
        </w:tc>
      </w:tr>
    </w:tbl>
    <w:p>
      <w:pPr>
        <w:pStyle w:val="WordBankMedium"/>
      </w:pPr>
      <w:r>
        <w:t xml:space="preserve">   Un libro     </w:t>
      </w:r>
      <w:r>
        <w:t xml:space="preserve">   Pregunta     </w:t>
      </w:r>
      <w:r>
        <w:t xml:space="preserve">   Pagar    </w:t>
      </w:r>
      <w:r>
        <w:t xml:space="preserve">   Comprar     </w:t>
      </w:r>
      <w:r>
        <w:t xml:space="preserve">   Trabajar     </w:t>
      </w:r>
      <w:r>
        <w:t xml:space="preserve">   En la Escuela     </w:t>
      </w:r>
      <w:r>
        <w:t xml:space="preserve">   Sacar una bueno nota     </w:t>
      </w:r>
      <w:r>
        <w:t xml:space="preserve">   La blusa     </w:t>
      </w:r>
      <w:r>
        <w:t xml:space="preserve">   Ir     </w:t>
      </w:r>
      <w:r>
        <w:t xml:space="preserve">   Un bolígrafo     </w:t>
      </w:r>
      <w:r>
        <w:t xml:space="preserve">   La computadora     </w:t>
      </w:r>
      <w:r>
        <w:t xml:space="preserve">   Música     </w:t>
      </w:r>
      <w:r>
        <w:t xml:space="preserve">   Un lápiz     </w:t>
      </w:r>
      <w:r>
        <w:t xml:space="preserve">   Una mochila     </w:t>
      </w:r>
      <w:r>
        <w:t xml:space="preserve">   Una carpeta     </w:t>
      </w:r>
      <w:r>
        <w:t xml:space="preserve">   La pizarra     </w:t>
      </w:r>
      <w:r>
        <w:t xml:space="preserve">   La falda     </w:t>
      </w:r>
      <w:r>
        <w:t xml:space="preserve">   un cuaderno     </w:t>
      </w:r>
      <w:r>
        <w:t xml:space="preserve">   El MP3    </w:t>
      </w:r>
      <w:r>
        <w:t xml:space="preserve">   Una tienda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V3.1</dc:title>
  <dcterms:created xsi:type="dcterms:W3CDTF">2021-10-11T21:07:06Z</dcterms:created>
  <dcterms:modified xsi:type="dcterms:W3CDTF">2021-10-11T21:07:06Z</dcterms:modified>
</cp:coreProperties>
</file>