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Child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Autonomy    </w:t>
      </w:r>
      <w:r>
        <w:t xml:space="preserve">   Arbitration    </w:t>
      </w:r>
      <w:r>
        <w:t xml:space="preserve">   Bilateral    </w:t>
      </w:r>
      <w:r>
        <w:t xml:space="preserve">   Memorandum    </w:t>
      </w:r>
      <w:r>
        <w:t xml:space="preserve">   Coalition    </w:t>
      </w:r>
      <w:r>
        <w:t xml:space="preserve">   Ineptitude    </w:t>
      </w:r>
      <w:r>
        <w:t xml:space="preserve">   Sovereignty    </w:t>
      </w:r>
      <w:r>
        <w:t xml:space="preserve">   Genealogical    </w:t>
      </w:r>
      <w:r>
        <w:t xml:space="preserve">   Sedentary    </w:t>
      </w:r>
      <w:r>
        <w:t xml:space="preserve">   Referendum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Child </dc:title>
  <dcterms:created xsi:type="dcterms:W3CDTF">2021-10-11T21:24:11Z</dcterms:created>
  <dcterms:modified xsi:type="dcterms:W3CDTF">2021-10-11T21:24:11Z</dcterms:modified>
</cp:coreProperties>
</file>