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Weapon Offences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Resonable grounds    </w:t>
      </w:r>
      <w:r>
        <w:t xml:space="preserve">   Mens Rea    </w:t>
      </w:r>
      <w:r>
        <w:t xml:space="preserve">   Actus Reus    </w:t>
      </w:r>
      <w:r>
        <w:t xml:space="preserve">   Rifle    </w:t>
      </w:r>
      <w:r>
        <w:t xml:space="preserve">   Knife    </w:t>
      </w:r>
      <w:r>
        <w:t xml:space="preserve">   Offence    </w:t>
      </w:r>
      <w:r>
        <w:t xml:space="preserve">   Criminal Code    </w:t>
      </w:r>
      <w:r>
        <w:t xml:space="preserve">   Law    </w:t>
      </w:r>
      <w:r>
        <w:t xml:space="preserve">   Prohibited    </w:t>
      </w:r>
      <w:r>
        <w:t xml:space="preserve">   Restricted    </w:t>
      </w:r>
      <w:r>
        <w:t xml:space="preserve">   Gun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 Offences</dc:title>
  <dcterms:created xsi:type="dcterms:W3CDTF">2021-10-11T21:30:36Z</dcterms:created>
  <dcterms:modified xsi:type="dcterms:W3CDTF">2021-10-11T21:30:36Z</dcterms:modified>
</cp:coreProperties>
</file>