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Citizen    </w:t>
      </w:r>
      <w:r>
        <w:t xml:space="preserve">   Due process clause    </w:t>
      </w:r>
      <w:r>
        <w:t xml:space="preserve">   Freedom of expression    </w:t>
      </w:r>
      <w:r>
        <w:t xml:space="preserve">   Redress of grievances    </w:t>
      </w:r>
      <w:r>
        <w:t xml:space="preserve">   Petition    </w:t>
      </w:r>
      <w:r>
        <w:t xml:space="preserve">   Marbury v. Madison    </w:t>
      </w:r>
      <w:r>
        <w:t xml:space="preserve">   Opinion    </w:t>
      </w:r>
      <w:r>
        <w:t xml:space="preserve">   Null and void    </w:t>
      </w:r>
      <w:r>
        <w:t xml:space="preserve">   Judicial review    </w:t>
      </w:r>
      <w:r>
        <w:t xml:space="preserve">   Republican Party    </w:t>
      </w:r>
      <w:r>
        <w:t xml:space="preserve">   Federalist Party    </w:t>
      </w:r>
      <w:r>
        <w:t xml:space="preserve">   Political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2021-10-12T21:00:49Z</dcterms:created>
  <dcterms:modified xsi:type="dcterms:W3CDTF">2021-10-12T21:00:49Z</dcterms:modified>
</cp:coreProperties>
</file>