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Poverty, Hunger and Homelesness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Common Good    </w:t>
      </w:r>
      <w:r>
        <w:t xml:space="preserve">   Cycle of Poverty    </w:t>
      </w:r>
      <w:r>
        <w:t xml:space="preserve">   Empathy    </w:t>
      </w:r>
      <w:r>
        <w:t xml:space="preserve">   Human Services    </w:t>
      </w:r>
      <w:r>
        <w:t xml:space="preserve">   Hunger    </w:t>
      </w:r>
      <w:r>
        <w:t xml:space="preserve">   Poverty    </w:t>
      </w:r>
      <w:r>
        <w:t xml:space="preserve">   Public Policy    </w:t>
      </w:r>
      <w:r>
        <w:t xml:space="preserve">   Root Cause    </w:t>
      </w:r>
      <w:r>
        <w:t xml:space="preserve">   Social Change    </w:t>
      </w:r>
      <w:r>
        <w:t xml:space="preserve">   Social Exclusion    </w:t>
      </w:r>
      <w:r>
        <w:t xml:space="preserve">   Theory of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Poverty, Hunger and Homelesness</dc:title>
  <dcterms:created xsi:type="dcterms:W3CDTF">2021-10-24T03:34:51Z</dcterms:created>
  <dcterms:modified xsi:type="dcterms:W3CDTF">2021-10-24T03:34:51Z</dcterms:modified>
</cp:coreProperties>
</file>