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Turkey and Northern Bobwhite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cleared small patches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density bobwhite populations can be maintained in if theforest structure and landscape composition are consistent with the morphological and behavioral adaptations of bobwhite.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other, mobility of bobwhite broods increases in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Mortality rates from are influenced by a myriad of environmental and population factors and may range from 0 to more than 50% of a local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Bobwhite have high physiological capacity for egg production with means ranging from 11.9 to 14.4.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clutch hatches, the attending adult leads the to habitat that is structurally distinct from nesting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Seasonal patterns of nest predation 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nest site often is located within 100 yards of an opening, such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Optimum was described by early biologists as a variety of forest stands, many of them with abundant oaks ,with open under-stories, interspersed with openings, well watered, and remote from human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traditional and very important game species of southern forests.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high vitamin A content valuable to pre-nesting hens.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Developed a relative importance score (1-16 increasing with increasing importance) for each food type based on frequency of occurence and percent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Bobwhite are subject to more than 30 viral, bacterial, mycotic, 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Grasslands within an must be disturbed periodically to maintain an appropiate vegetation structure and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Feed voraciously, grow fast, and consume mostly insects and other arthropods early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Adult turkeys feed on green forage and grass seed, such as wood sorrel, panic grass, and, including domestic forages such as oats, wheat, and rye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primitive agriculture spread north and westward during the early, the bobwhite expanded it's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referred to bobwhite as the mobile of North American game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least understood component of bobwhite population ecology.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Routes are randomly located in order to sample habitats that are representative of the region.</w:t>
            </w:r>
          </w:p>
        </w:tc>
      </w:tr>
    </w:tbl>
    <w:p>
      <w:pPr>
        <w:pStyle w:val="WordBankLarge"/>
      </w:pPr>
      <w:r>
        <w:t xml:space="preserve">   wild turkey    </w:t>
      </w:r>
      <w:r>
        <w:t xml:space="preserve">   Leopold    </w:t>
      </w:r>
      <w:r>
        <w:t xml:space="preserve">   Poults    </w:t>
      </w:r>
      <w:r>
        <w:t xml:space="preserve">   pine-forested landscapes    </w:t>
      </w:r>
      <w:r>
        <w:t xml:space="preserve">   wild turkey habitat    </w:t>
      </w:r>
      <w:r>
        <w:t xml:space="preserve">   avian pox    </w:t>
      </w:r>
      <w:r>
        <w:t xml:space="preserve">   Settlers    </w:t>
      </w:r>
      <w:r>
        <w:t xml:space="preserve">   Protozoan diseases    </w:t>
      </w:r>
      <w:r>
        <w:t xml:space="preserve">   Galliforms    </w:t>
      </w:r>
      <w:r>
        <w:t xml:space="preserve">   Chicks    </w:t>
      </w:r>
      <w:r>
        <w:t xml:space="preserve">   Agricultural landscape    </w:t>
      </w:r>
      <w:r>
        <w:t xml:space="preserve">   Latitudinally    </w:t>
      </w:r>
      <w:r>
        <w:t xml:space="preserve">   19th century    </w:t>
      </w:r>
      <w:r>
        <w:t xml:space="preserve">   Landers and Johnson (1976)    </w:t>
      </w:r>
      <w:r>
        <w:t xml:space="preserve">   Woods road or food plot    </w:t>
      </w:r>
      <w:r>
        <w:t xml:space="preserve">   Paspalum    </w:t>
      </w:r>
      <w:r>
        <w:t xml:space="preserve">   BBS    </w:t>
      </w:r>
      <w:r>
        <w:t xml:space="preserve">   Brood    </w:t>
      </w:r>
      <w:r>
        <w:t xml:space="preserve">   Clovers    </w:t>
      </w:r>
      <w:r>
        <w:t xml:space="preserve">   Clutch size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Turkey and Northern Bobwhite</dc:title>
  <dcterms:created xsi:type="dcterms:W3CDTF">2021-10-11T21:58:37Z</dcterms:created>
  <dcterms:modified xsi:type="dcterms:W3CDTF">2021-10-11T21:58:37Z</dcterms:modified>
</cp:coreProperties>
</file>