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pinot noir    </w:t>
      </w:r>
      <w:r>
        <w:t xml:space="preserve">   cabernet    </w:t>
      </w:r>
      <w:r>
        <w:t xml:space="preserve">   shiraz    </w:t>
      </w:r>
      <w:r>
        <w:t xml:space="preserve">   riesling    </w:t>
      </w:r>
      <w:r>
        <w:t xml:space="preserve">   red    </w:t>
      </w:r>
      <w:r>
        <w:t xml:space="preserve">   white    </w:t>
      </w:r>
      <w:r>
        <w:t xml:space="preserve">   merlot    </w:t>
      </w:r>
      <w:r>
        <w:t xml:space="preserve">   sauvignon blanc    </w:t>
      </w:r>
      <w:r>
        <w:t xml:space="preserve">   pinot grigio    </w:t>
      </w:r>
      <w:r>
        <w:t xml:space="preserve">   chardonnay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</dc:title>
  <dcterms:created xsi:type="dcterms:W3CDTF">2021-10-11T22:01:08Z</dcterms:created>
  <dcterms:modified xsi:type="dcterms:W3CDTF">2021-10-11T22:01:08Z</dcterms:modified>
</cp:coreProperties>
</file>