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Centuries    </w:t>
      </w:r>
      <w:r>
        <w:t xml:space="preserve">   Twelfth    </w:t>
      </w:r>
      <w:r>
        <w:t xml:space="preserve">   Eleventh    </w:t>
      </w:r>
      <w:r>
        <w:t xml:space="preserve">   Gothic    </w:t>
      </w:r>
      <w:r>
        <w:t xml:space="preserve">   God    </w:t>
      </w:r>
      <w:r>
        <w:t xml:space="preserve">   The Canterbury tales    </w:t>
      </w:r>
      <w:r>
        <w:t xml:space="preserve">   The song of Roland    </w:t>
      </w:r>
      <w:r>
        <w:t xml:space="preserve">   Chanson de geste    </w:t>
      </w:r>
      <w:r>
        <w:t xml:space="preserve">   Vernacular    </w:t>
      </w:r>
      <w:r>
        <w:t xml:space="preserve">   Scholasticism    </w:t>
      </w:r>
      <w:r>
        <w:t xml:space="preserve">   Theology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2021-10-11T22:25:10Z</dcterms:created>
  <dcterms:modified xsi:type="dcterms:W3CDTF">2021-10-11T22:25:10Z</dcterms:modified>
</cp:coreProperties>
</file>