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Writers in American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the story "Rip Van Winkle"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detective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16th president of the U.S that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 was a judge in the Salem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influential transcendentalist writer of the 19th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Signs Preceding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Puritans as a city on a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not live with her husband and wrote "Letters From New York"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of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Influential in the Salem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slave who wrote a book about her life as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name is Samuel L. Clemens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of myself</w:t>
            </w:r>
          </w:p>
        </w:tc>
      </w:tr>
    </w:tbl>
    <w:p>
      <w:pPr>
        <w:pStyle w:val="WordBankLarge"/>
      </w:pPr>
      <w:r>
        <w:t xml:space="preserve">   Abraham Lincoln     </w:t>
      </w:r>
      <w:r>
        <w:t xml:space="preserve">   Washington Irving     </w:t>
      </w:r>
      <w:r>
        <w:t xml:space="preserve">   Lydia Maria Child    </w:t>
      </w:r>
      <w:r>
        <w:t xml:space="preserve">   Edgar Allan Poe    </w:t>
      </w:r>
      <w:r>
        <w:t xml:space="preserve">   Kate Chopin    </w:t>
      </w:r>
      <w:r>
        <w:t xml:space="preserve">   Cotton Mather    </w:t>
      </w:r>
      <w:r>
        <w:t xml:space="preserve">   Mark Twain     </w:t>
      </w:r>
      <w:r>
        <w:t xml:space="preserve">   Ralph Waldo Emerson    </w:t>
      </w:r>
      <w:r>
        <w:t xml:space="preserve">   Nathaniel Hawthorne    </w:t>
      </w:r>
      <w:r>
        <w:t xml:space="preserve">   Yuri Herrera    </w:t>
      </w:r>
      <w:r>
        <w:t xml:space="preserve">   Harriet Jacobs    </w:t>
      </w:r>
      <w:r>
        <w:t xml:space="preserve">   Margaret Fuller     </w:t>
      </w:r>
      <w:r>
        <w:t xml:space="preserve">   Walt Whitman     </w:t>
      </w:r>
      <w:r>
        <w:t xml:space="preserve">   John Winthrop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 in American Literature</dc:title>
  <dcterms:created xsi:type="dcterms:W3CDTF">2021-10-11T22:30:16Z</dcterms:created>
  <dcterms:modified xsi:type="dcterms:W3CDTF">2021-10-11T22:30:16Z</dcterms:modified>
</cp:coreProperties>
</file>