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YARD CONTROL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WORKING HEADLIGHTS    </w:t>
      </w:r>
      <w:r>
        <w:t xml:space="preserve">   REFLECTIVE MATERIAL    </w:t>
      </w:r>
      <w:r>
        <w:t xml:space="preserve">   POSTED SPEED LIMIT    </w:t>
      </w:r>
      <w:r>
        <w:t xml:space="preserve">   SEAT BELT    </w:t>
      </w:r>
      <w:r>
        <w:t xml:space="preserve">   ORANGE CONE    </w:t>
      </w:r>
      <w:r>
        <w:t xml:space="preserve">   YELLOW VEST    </w:t>
      </w:r>
      <w:r>
        <w:t xml:space="preserve">   DESIGNATED BREAK AREAS    </w:t>
      </w:r>
      <w:r>
        <w:t xml:space="preserve">   DESIGNATED DOORS    </w:t>
      </w:r>
      <w:r>
        <w:t xml:space="preserve">   DESIGNATED WALK PATHS    </w:t>
      </w:r>
      <w:r>
        <w:t xml:space="preserve">   DESIGNATED EMPLOYEES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YARD CONTROL RULES</dc:title>
  <dcterms:created xsi:type="dcterms:W3CDTF">2021-10-11T22:34:51Z</dcterms:created>
  <dcterms:modified xsi:type="dcterms:W3CDTF">2021-10-11T22:34:51Z</dcterms:modified>
</cp:coreProperties>
</file>