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8 Textiles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Components    </w:t>
      </w:r>
      <w:r>
        <w:t xml:space="preserve">   Collage    </w:t>
      </w:r>
      <w:r>
        <w:t xml:space="preserve">   Stitching    </w:t>
      </w:r>
      <w:r>
        <w:t xml:space="preserve">   Applique    </w:t>
      </w:r>
      <w:r>
        <w:t xml:space="preserve">   HeatPress    </w:t>
      </w:r>
      <w:r>
        <w:t xml:space="preserve">   SewingMachine    </w:t>
      </w:r>
      <w:r>
        <w:t xml:space="preserve">   Media    </w:t>
      </w:r>
      <w:r>
        <w:t xml:space="preserve">   Gadget    </w:t>
      </w:r>
      <w:r>
        <w:t xml:space="preserve">   Line    </w:t>
      </w:r>
      <w:r>
        <w:t xml:space="preserve">   Tone    </w:t>
      </w:r>
      <w:r>
        <w:t xml:space="preserve">   Texture    </w:t>
      </w:r>
      <w:r>
        <w:t xml:space="preserve">  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Textiles Key Words</dc:title>
  <dcterms:created xsi:type="dcterms:W3CDTF">2021-10-11T22:36:49Z</dcterms:created>
  <dcterms:modified xsi:type="dcterms:W3CDTF">2021-10-11T22:36:49Z</dcterms:modified>
</cp:coreProperties>
</file>