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vastus lateralis    </w:t>
      </w:r>
      <w:r>
        <w:t xml:space="preserve">   cardiovascular    </w:t>
      </w:r>
      <w:r>
        <w:t xml:space="preserve">   antagonist    </w:t>
      </w:r>
      <w:r>
        <w:t xml:space="preserve">   latissimus    </w:t>
      </w:r>
      <w:r>
        <w:t xml:space="preserve">   systolic    </w:t>
      </w:r>
      <w:r>
        <w:t xml:space="preserve">   anatomical    </w:t>
      </w:r>
      <w:r>
        <w:t xml:space="preserve">   tedium    </w:t>
      </w:r>
      <w:r>
        <w:t xml:space="preserve">   specificity    </w:t>
      </w:r>
      <w:r>
        <w:t xml:space="preserve">   plank    </w:t>
      </w:r>
      <w:r>
        <w:t xml:space="preserve">   visceral    </w:t>
      </w:r>
      <w:r>
        <w:t xml:space="preserve">   analysis    </w:t>
      </w:r>
      <w:r>
        <w:t xml:space="preserve">   hypertrophy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leisure</dc:title>
  <dcterms:created xsi:type="dcterms:W3CDTF">2021-10-11T00:35:26Z</dcterms:created>
  <dcterms:modified xsi:type="dcterms:W3CDTF">2021-10-11T00:35:26Z</dcterms:modified>
</cp:coreProperties>
</file>