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dispute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parties    </w:t>
      </w:r>
      <w:r>
        <w:t xml:space="preserve">   binding    </w:t>
      </w:r>
      <w:r>
        <w:t xml:space="preserve">   arbitration act    </w:t>
      </w:r>
      <w:r>
        <w:t xml:space="preserve">   settlement    </w:t>
      </w:r>
      <w:r>
        <w:t xml:space="preserve">   agreement    </w:t>
      </w:r>
      <w:r>
        <w:t xml:space="preserve">   neutral    </w:t>
      </w:r>
      <w:r>
        <w:t xml:space="preserve">   third party    </w:t>
      </w:r>
      <w:r>
        <w:t xml:space="preserve">   resolution    </w:t>
      </w:r>
      <w:r>
        <w:t xml:space="preserve">   negotiation    </w:t>
      </w:r>
      <w:r>
        <w:t xml:space="preserve">   Conciliation    </w:t>
      </w:r>
      <w:r>
        <w:t xml:space="preserve">   mediation    </w:t>
      </w:r>
      <w:r>
        <w:t xml:space="preserve">   arbitration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dispute resolution</dc:title>
  <dcterms:created xsi:type="dcterms:W3CDTF">2021-10-11T01:01:21Z</dcterms:created>
  <dcterms:modified xsi:type="dcterms:W3CDTF">2021-10-11T01:01:21Z</dcterms:modified>
</cp:coreProperties>
</file>