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constitution and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judicial review    </w:t>
      </w:r>
      <w:r>
        <w:t xml:space="preserve">   stare decisis    </w:t>
      </w:r>
      <w:r>
        <w:t xml:space="preserve">   exclusionary rule    </w:t>
      </w:r>
      <w:r>
        <w:t xml:space="preserve">   symbolic speech    </w:t>
      </w:r>
      <w:r>
        <w:t xml:space="preserve">   civil liberties    </w:t>
      </w:r>
      <w:r>
        <w:t xml:space="preserve">   civil right    </w:t>
      </w:r>
      <w:r>
        <w:t xml:space="preserve">   federalism    </w:t>
      </w:r>
      <w:r>
        <w:t xml:space="preserve">   judicial activism    </w:t>
      </w:r>
      <w:r>
        <w:t xml:space="preserve">   supermacy clause    </w:t>
      </w:r>
      <w:r>
        <w:t xml:space="preserve">   police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constitution and government</dc:title>
  <dcterms:created xsi:type="dcterms:W3CDTF">2021-10-11T01:03:21Z</dcterms:created>
  <dcterms:modified xsi:type="dcterms:W3CDTF">2021-10-11T01:03:21Z</dcterms:modified>
</cp:coreProperties>
</file>