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autistic spectrum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stereotyped    </w:t>
      </w:r>
      <w:r>
        <w:t xml:space="preserve">   Body language    </w:t>
      </w:r>
      <w:r>
        <w:t xml:space="preserve">   ADOS    </w:t>
      </w:r>
      <w:r>
        <w:t xml:space="preserve">   eye contact    </w:t>
      </w:r>
      <w:r>
        <w:t xml:space="preserve">   hyporesponsiveness    </w:t>
      </w:r>
      <w:r>
        <w:t xml:space="preserve">   obsessions    </w:t>
      </w:r>
      <w:r>
        <w:t xml:space="preserve">   autism    </w:t>
      </w:r>
      <w:r>
        <w:t xml:space="preserve">   emotions    </w:t>
      </w:r>
      <w:r>
        <w:t xml:space="preserve">   expressions    </w:t>
      </w:r>
      <w:r>
        <w:t xml:space="preserve">   Communications    </w:t>
      </w:r>
      <w:r>
        <w:t xml:space="preserve">   ASD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autistic spectrum disorder </dc:title>
  <dcterms:created xsi:type="dcterms:W3CDTF">2021-10-11T01:43:33Z</dcterms:created>
  <dcterms:modified xsi:type="dcterms:W3CDTF">2021-10-11T01:43:33Z</dcterms:modified>
</cp:coreProperties>
</file>