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license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steering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toll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dashboard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stop</w:t>
            </w:r>
          </w:p>
        </w:tc>
      </w:tr>
    </w:tbl>
    <w:p>
      <w:pPr>
        <w:pStyle w:val="WordBankMedium"/>
      </w:pPr>
      <w:r>
        <w:t xml:space="preserve">   arrancar    </w:t>
      </w:r>
      <w:r>
        <w:t xml:space="preserve">   arreglar    </w:t>
      </w:r>
      <w:r>
        <w:t xml:space="preserve">   cambiar    </w:t>
      </w:r>
      <w:r>
        <w:t xml:space="preserve">   chocar    </w:t>
      </w:r>
      <w:r>
        <w:t xml:space="preserve">   doblar    </w:t>
      </w:r>
      <w:r>
        <w:t xml:space="preserve">   frenar    </w:t>
      </w:r>
      <w:r>
        <w:t xml:space="preserve">   llenar    </w:t>
      </w:r>
      <w:r>
        <w:t xml:space="preserve">   parar    </w:t>
      </w:r>
      <w:r>
        <w:t xml:space="preserve">   subir    </w:t>
      </w:r>
      <w:r>
        <w:t xml:space="preserve">   la troca    </w:t>
      </w:r>
      <w:r>
        <w:t xml:space="preserve">   la placa    </w:t>
      </w:r>
      <w:r>
        <w:t xml:space="preserve">   revisar    </w:t>
      </w:r>
      <w:r>
        <w:t xml:space="preserve">   la cuadra    </w:t>
      </w:r>
      <w:r>
        <w:t xml:space="preserve">   la esquina    </w:t>
      </w:r>
      <w:r>
        <w:t xml:space="preserve">   la rueda    </w:t>
      </w:r>
      <w:r>
        <w:t xml:space="preserve">   la garita    </w:t>
      </w:r>
      <w:r>
        <w:t xml:space="preserve">   la cuota    </w:t>
      </w:r>
      <w:r>
        <w:t xml:space="preserve">   la calle    </w:t>
      </w:r>
      <w:r>
        <w:t xml:space="preserve">   la moneda    </w:t>
      </w:r>
      <w:r>
        <w:t xml:space="preserve">   el volante    </w:t>
      </w:r>
      <w:r>
        <w:t xml:space="preserve">   la tabla    </w:t>
      </w:r>
      <w:r>
        <w:t xml:space="preserve">   el gato    </w:t>
      </w:r>
      <w:r>
        <w:t xml:space="preserve">   el parabrisas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vocab</dc:title>
  <dcterms:created xsi:type="dcterms:W3CDTF">2021-10-11T02:54:21Z</dcterms:created>
  <dcterms:modified xsi:type="dcterms:W3CDTF">2021-10-11T02:54:21Z</dcterms:modified>
</cp:coreProperties>
</file>