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actual cash value    </w:t>
      </w:r>
      <w:r>
        <w:t xml:space="preserve">   homeowner's insurance    </w:t>
      </w:r>
      <w:r>
        <w:t xml:space="preserve">   inflation guard clause    </w:t>
      </w:r>
      <w:r>
        <w:t xml:space="preserve">   loss of use     </w:t>
      </w:r>
      <w:r>
        <w:t xml:space="preserve">   natural risks     </w:t>
      </w:r>
      <w:r>
        <w:t xml:space="preserve">   perils     </w:t>
      </w:r>
      <w:r>
        <w:t xml:space="preserve">   personal liability    </w:t>
      </w:r>
      <w:r>
        <w:t xml:space="preserve">   renter's insurance    </w:t>
      </w:r>
      <w:r>
        <w:t xml:space="preserve">   replacement cost    </w:t>
      </w:r>
      <w:r>
        <w:t xml:space="preserve">   schedule    </w:t>
      </w:r>
      <w:r>
        <w:t xml:space="preserve">   settlement recourse    </w:t>
      </w:r>
      <w:r>
        <w:t xml:space="preserve">   umbrella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2021-10-11T03:31:06Z</dcterms:created>
  <dcterms:modified xsi:type="dcterms:W3CDTF">2021-10-11T03:31:06Z</dcterms:modified>
</cp:coreProperties>
</file>