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 affect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social interaction    </w:t>
      </w:r>
      <w:r>
        <w:t xml:space="preserve">   mental health    </w:t>
      </w:r>
      <w:r>
        <w:t xml:space="preserve">   risk    </w:t>
      </w:r>
      <w:r>
        <w:t xml:space="preserve">   children    </w:t>
      </w:r>
      <w:r>
        <w:t xml:space="preserve">   noncontact    </w:t>
      </w:r>
      <w:r>
        <w:t xml:space="preserve">   australia    </w:t>
      </w:r>
      <w:r>
        <w:t xml:space="preserve">   behavior    </w:t>
      </w:r>
      <w:r>
        <w:t xml:space="preserve">   suicide    </w:t>
      </w:r>
      <w:r>
        <w:t xml:space="preserve">   brain    </w:t>
      </w:r>
      <w:r>
        <w:t xml:space="preserve">   sport    </w:t>
      </w:r>
      <w:r>
        <w:t xml:space="preserve">   concussion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 affect mental health</dc:title>
  <dcterms:created xsi:type="dcterms:W3CDTF">2021-10-11T04:31:38Z</dcterms:created>
  <dcterms:modified xsi:type="dcterms:W3CDTF">2021-10-11T04:31:38Z</dcterms:modified>
</cp:coreProperties>
</file>