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instituto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homewok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good/bad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</w:t>
            </w:r>
          </w:p>
        </w:tc>
      </w:tr>
    </w:tbl>
    <w:p>
      <w:pPr>
        <w:pStyle w:val="WordBankLarge"/>
      </w:pPr>
      <w:r>
        <w:t xml:space="preserve">   los trabajos manuales    </w:t>
      </w:r>
      <w:r>
        <w:t xml:space="preserve">   la tarea    </w:t>
      </w:r>
      <w:r>
        <w:t xml:space="preserve">   taller    </w:t>
      </w:r>
      <w:r>
        <w:t xml:space="preserve">   sacar buenas/malas notas    </w:t>
      </w:r>
      <w:r>
        <w:t xml:space="preserve">   la química    </w:t>
      </w:r>
      <w:r>
        <w:t xml:space="preserve">   la nota    </w:t>
      </w:r>
      <w:r>
        <w:t xml:space="preserve">   la lengua    </w:t>
      </w:r>
      <w:r>
        <w:t xml:space="preserve">   el inglés    </w:t>
      </w:r>
      <w:r>
        <w:t xml:space="preserve">   la informática    </w:t>
      </w:r>
      <w:r>
        <w:t xml:space="preserve">   el idioma    </w:t>
      </w:r>
      <w:r>
        <w:t xml:space="preserve">   la gimnasia    </w:t>
      </w:r>
      <w:r>
        <w:t xml:space="preserve">   el francés    </w:t>
      </w:r>
      <w:r>
        <w:t xml:space="preserve">   el espanol    </w:t>
      </w:r>
      <w:r>
        <w:t xml:space="preserve">   ensenar    </w:t>
      </w:r>
      <w:r>
        <w:t xml:space="preserve">   el director    </w:t>
      </w:r>
      <w:r>
        <w:t xml:space="preserve">   el dibujo    </w:t>
      </w:r>
      <w:r>
        <w:t xml:space="preserve">   las ciencias    </w:t>
      </w:r>
      <w:r>
        <w:t xml:space="preserve">   las ciencias económicas    </w:t>
      </w:r>
      <w:r>
        <w:t xml:space="preserve">   la asignatura    </w:t>
      </w:r>
      <w:r>
        <w:t xml:space="preserve">   el alemán    </w:t>
      </w:r>
      <w:r>
        <w:t xml:space="preserve">   la cocina    </w:t>
      </w:r>
      <w:r>
        <w:t xml:space="preserve">   el comercio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instituto</dc:title>
  <dcterms:created xsi:type="dcterms:W3CDTF">2021-10-11T06:04:14Z</dcterms:created>
  <dcterms:modified xsi:type="dcterms:W3CDTF">2021-10-11T06:04:14Z</dcterms:modified>
</cp:coreProperties>
</file>