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factors effecting achievement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debt    </w:t>
      </w:r>
      <w:r>
        <w:t xml:space="preserve">   deprivation    </w:t>
      </w:r>
      <w:r>
        <w:t xml:space="preserve">   economic    </w:t>
      </w:r>
      <w:r>
        <w:t xml:space="preserve">   education    </w:t>
      </w:r>
      <w:r>
        <w:t xml:space="preserve">   external    </w:t>
      </w:r>
      <w:r>
        <w:t xml:space="preserve">   housing    </w:t>
      </w:r>
      <w:r>
        <w:t xml:space="preserve">   income    </w:t>
      </w:r>
      <w:r>
        <w:t xml:space="preserve">   internal    </w:t>
      </w:r>
      <w:r>
        <w:t xml:space="preserve">   speech codes    </w:t>
      </w:r>
      <w:r>
        <w:t xml:space="preserve">   subculture    </w:t>
      </w:r>
      <w:r>
        <w:t xml:space="preserve">   sugarman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factors effecting achievement </dc:title>
  <dcterms:created xsi:type="dcterms:W3CDTF">2021-10-11T06:40:11Z</dcterms:created>
  <dcterms:modified xsi:type="dcterms:W3CDTF">2021-10-11T06:40:11Z</dcterms:modified>
</cp:coreProperties>
</file>