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Personal injury protection    </w:t>
      </w:r>
      <w:r>
        <w:t xml:space="preserve">   Comprehensive coverage    </w:t>
      </w:r>
      <w:r>
        <w:t xml:space="preserve">   Collision coverage    </w:t>
      </w:r>
      <w:r>
        <w:t xml:space="preserve">   Attractive nuisance    </w:t>
      </w:r>
      <w:r>
        <w:t xml:space="preserve">   Liability coverage    </w:t>
      </w:r>
      <w:r>
        <w:t xml:space="preserve">   Personal property floater    </w:t>
      </w:r>
      <w:r>
        <w:t xml:space="preserve">   Renter's policy    </w:t>
      </w:r>
      <w:r>
        <w:t xml:space="preserve">   Co-insurance clause    </w:t>
      </w:r>
      <w:r>
        <w:t xml:space="preserve">   Endorsement 12    </w:t>
      </w:r>
      <w:r>
        <w:t xml:space="preserve">   Homeowner's policy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finace </dc:title>
  <dcterms:created xsi:type="dcterms:W3CDTF">2021-10-11T06:59:13Z</dcterms:created>
  <dcterms:modified xsi:type="dcterms:W3CDTF">2021-10-11T06:59:13Z</dcterms:modified>
</cp:coreProperties>
</file>